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03"/>
        <w:gridCol w:w="66"/>
        <w:gridCol w:w="66"/>
        <w:gridCol w:w="81"/>
      </w:tblGrid>
      <w:tr w:rsidR="001130D3" w:rsidRPr="001130D3" w:rsidTr="001130D3">
        <w:trPr>
          <w:gridAfter w:val="3"/>
          <w:tblCellSpacing w:w="15" w:type="dxa"/>
        </w:trPr>
        <w:tc>
          <w:tcPr>
            <w:tcW w:w="0" w:type="auto"/>
            <w:vAlign w:val="center"/>
          </w:tcPr>
          <w:p w:rsidR="001130D3" w:rsidRPr="001130D3" w:rsidRDefault="001130D3" w:rsidP="001130D3">
            <w:pPr>
              <w:spacing w:after="0" w:line="240" w:lineRule="auto"/>
              <w:jc w:val="both"/>
              <w:rPr>
                <w:rFonts w:ascii="Times New Roman" w:eastAsia="Times New Roman" w:hAnsi="Times New Roman" w:cs="0 Nazanin"/>
                <w:sz w:val="24"/>
                <w:szCs w:val="24"/>
              </w:rPr>
            </w:pPr>
            <w:bookmarkStart w:id="0" w:name="_GoBack"/>
            <w:bookmarkEnd w:id="0"/>
          </w:p>
        </w:tc>
      </w:tr>
      <w:tr w:rsidR="001130D3" w:rsidRPr="001130D3" w:rsidTr="001130D3">
        <w:trPr>
          <w:tblCellSpacing w:w="15" w:type="dxa"/>
        </w:trPr>
        <w:tc>
          <w:tcPr>
            <w:tcW w:w="0" w:type="auto"/>
            <w:gridSpan w:val="4"/>
            <w:vAlign w:val="center"/>
            <w:hideMark/>
          </w:tcPr>
          <w:p w:rsidR="001130D3" w:rsidRPr="001130D3" w:rsidRDefault="001130D3" w:rsidP="001130D3">
            <w:pPr>
              <w:spacing w:after="0" w:line="240" w:lineRule="auto"/>
              <w:jc w:val="both"/>
              <w:rPr>
                <w:rFonts w:ascii="Times New Roman" w:eastAsia="Times New Roman" w:hAnsi="Times New Roman" w:cs="0 Nazanin"/>
                <w:sz w:val="24"/>
                <w:szCs w:val="24"/>
              </w:rPr>
            </w:pPr>
          </w:p>
        </w:tc>
      </w:tr>
      <w:tr w:rsidR="001130D3" w:rsidRPr="001130D3" w:rsidTr="001130D3">
        <w:trPr>
          <w:tblCellSpacing w:w="15" w:type="dxa"/>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828"/>
            </w:tblGrid>
            <w:tr w:rsidR="001130D3" w:rsidRPr="001130D3">
              <w:trPr>
                <w:tblCellSpacing w:w="0" w:type="dxa"/>
                <w:jc w:val="center"/>
              </w:trPr>
              <w:tc>
                <w:tcPr>
                  <w:tcW w:w="0" w:type="auto"/>
                  <w:hideMark/>
                </w:tcPr>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8828"/>
                  </w:tblGrid>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قانون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ساختمان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۱ـ هر قراردادي با هر عنوان كه به موجب آن، مالك رسمي زمين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متعهد به احداث يا تكميل واحد ساختماني مشخص در آن زمين شود و واحد ساختماني مذكور با هر نوع كاربري از ابتدا يا در حين احداث و تكميل يا پس از اتمام عمليات ساختماني به مالكيت طرف ديگر قرارداد (پيش‌خريدار) درآيد از نظر مقررات اين قانون «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ساختمان» محسوب مي‌شود.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hint="cs"/>
                            <w:sz w:val="24"/>
                            <w:szCs w:val="24"/>
                            <w:rtl/>
                          </w:rPr>
                        </w:pPr>
                        <w:r w:rsidRPr="001130D3">
                          <w:rPr>
                            <w:rFonts w:ascii="Times New Roman" w:eastAsia="Times New Roman" w:hAnsi="Times New Roman" w:cs="0 Nazanin"/>
                            <w:sz w:val="24"/>
                            <w:szCs w:val="24"/>
                            <w:rtl/>
                          </w:rPr>
                          <w:t>تبصره ـ اشخاص ذيل نيز مي‌توانند در چهارچوب اين قانون و قراردادي كه به‌موجب آن زميني در اختيارشان قرار مي‌گيرد اقدام به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ساختمان نمايند:</w:t>
                        </w:r>
                      </w:p>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۱ـ سرمايه‌گذاراني كه در ازاء سرمايه‌گذاري از طريق احداث بناء بر روي زمين متعلق به ديگري، واحدهاي ساختماني مشخصي از بناء احداثي بر روي آن زمين، ضمن عقد و به‌موجب سند رسمي به آنان اختصاص مي‌يابد. </w:t>
                        </w:r>
                        <w:r w:rsidRPr="001130D3">
                          <w:rPr>
                            <w:rFonts w:ascii="Times New Roman" w:eastAsia="Times New Roman" w:hAnsi="Times New Roman" w:cs="0 Nazanin"/>
                            <w:sz w:val="24"/>
                            <w:szCs w:val="24"/>
                            <w:rtl/>
                          </w:rPr>
                          <w:br/>
                          <w:t xml:space="preserve">۲ـ مستأجرين اراضي اعم از ملكي، دولتي، موقوفه كه به‌موجب سند رسمي حق احداث بنا بر روي عين مستأجره را دارند.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۲ـ در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بايد حداقل به موارد زير تصريح شود: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۱ـ اسم و مشخصات طرفين قرارداد اعم از حقيقي يا حقوقي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۲ـ پلاك و مشخصات ثبتي و نشاني وقوع ملك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۳ـ اوصاف و امكانات واحد ساختماني مورد معامله مانند مساحت اعياني، تعداد اتاق ها، شماره طبقه، شماره واحد، توقفگاه (پاركينگ) و انباري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۴ـ مشخصات فني و معماري ساختماني كه واحد در آن احداث مي‌شود مانند موقعيت، كاربري و مساحت كل عرصه و زيربنا، تعداد طبقات و كل واحدها، نما، نوع مصالح مصرفي ساختمان، سيستم گرمايش و سرمايش و قسمت هاي مشترك و ساير مواردي كه در پروانه ساخت و شناسنامه فني هر واحد قيد شده يا عرفاً در قيمت مؤثر است.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۵ ـ بها يا عوض در قراردادهاي معوض، تعداد اقساط و نحوه پرداخت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۶ ـ شماره قبوض اقساطي براي بها، تحويل و انتقال قطعي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۷ـ زمان تحويل واحد ساختماني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فروش‌شده و تنظيم سند رسمي انتقال قطعي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۸ ـ تعيين تكليف راجع به خسارات، تضمين ها و قرارداد بيمه‌اي، تغيير قيمت و تغيير مشخصات مورد معامله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۹ـ تعهدات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به مرجع صادركننده پروانه و ساير مراجع قانوني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۱۰ـ معرفي داوران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۱۱ـ احكام مذكور در مواد (۶)، (۷) و (۸) و تبصره آن، (۹)، (۱۱)، (۱۲)، (۱۴)، (۱۶) و (۲۰) اين قانون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۳ـ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و نيز قرارداد واگذاري حقوق و تعهدات ناشي از آن بايد با رعايت ماده (۲) اين قانون از طريق تنظيم سند رسمي نزد دفاتر اسناد رسمي و با درج در سند مالكيت و ارسال خلاصة آن به اداره ثبت محل صورت گيرد.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۴ـ تنظيم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منوط به ارائه مدارك زير است: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۱ـ سند رسمي مالكيت يا سند رسمي اجاره با حق احداث بناء يا قرارداد رسمي حاكي از اين‌كه مورد معامله در ازاء سرمايه‌گذاري با حق فروش از طريق احداث بناء بر روي عرصه به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اختصاص يافته است.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۲ـ پروانه ساخت كل ساختمان و شناسنامه فني مستقل براي هر واحد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۳ـ بيمه‌نامه مربوط به مسؤوليت موضوع ماده (۹) اين قانون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۴ـ تأييديه مهندس ناظر ساختمان مبني بر پايان عمليات پي ساختمان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۵ ـ پاسخ استعلام از اداره ثبت اسناد و املاك محل وقوع ملك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lastRenderedPageBreak/>
                          <w:t>تبصره ـ در مجموعه‌هاي احداثي كه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تعهداتي در برابر مرجع صادركننده پروانه از قبيل آماده‌سازي و انجام فضاهاي عمومي و خدماتي با پرداخت حقوق دولتي و عمومي و نظارت آن دارد، اجازه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واحدهاي مذكور منوط به حداقل سي‌درصد (۳۰%) پيشرفت در انجام سرجمع تعهدات مربوط و تأييد آن توسط مرجع صادركننده پروانه مي‌باشد.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۵ ـ تنظيم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و واگذاري حقوق و تعهدات ناشي از آن نزد دفاتر اسناد رسمي با پرداخت حق‌الثبت و بدون ارائه گواهي مالياتي صرفاً در قبال پرداخت حق‌التحرير طبق تعرفه خاص قوه قضائيه صورت مي‌گيرد.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۶ ـ چنانچه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در تاريخ مقرر در قرارداد واحد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فروش‌شده را تحويل پيش‌خريدار ندهد و يا به تعهدات خود عمل ‌ننمايد علاوه بر اجراء بند (۹) ماده (۲) اين قانون مكلف است به شرح زير جريمه تأخير به پيش‌خريدار بپردازد مگر اين‌كه به مبالغ بيشتري به نفع پيش‌خريدار توافق نمايند. اجراء مقررات اين ماده مانع از اعمال خيارات براي پيش‌خريدار نيست.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۱ـ درصورتي كه واحد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فروش‌شده و بخش‌هاي اختصاصي نظير توقفگاه (پاركينگ) و انباري در زمان مقرر قابل بهره‌برداري نباشد، تا زمان تحويل واحد به پيش‌خريدار، معادل اجرت‌المثل بخش تحويل‌نشده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۲ـ درصورت عدم انجام تعهدات در قسمت هاي مشاعي، روزانه به ميزان نيم‌درصد (۵/۰%) بهاي روز تعهدات انجام‌نشده به ميزان قدرالسهم پيش‌خريدار</w:t>
                        </w:r>
                        <w:r w:rsidRPr="001130D3">
                          <w:rPr>
                            <w:rFonts w:ascii="Times New Roman" w:eastAsia="Times New Roman" w:hAnsi="Times New Roman" w:cs="Times New Roman" w:hint="cs"/>
                            <w:sz w:val="24"/>
                            <w:szCs w:val="24"/>
                            <w:rtl/>
                          </w:rPr>
                          <w:t> </w:t>
                        </w:r>
                        <w:r w:rsidRPr="001130D3">
                          <w:rPr>
                            <w:rFonts w:ascii="Times New Roman" w:eastAsia="Times New Roman" w:hAnsi="Times New Roman" w:cs="0 Nazanin"/>
                            <w:sz w:val="24"/>
                            <w:szCs w:val="24"/>
                            <w:rtl/>
                          </w:rPr>
                          <w:t xml:space="preserve">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۳ـ درصورت عدم انجام تعهدات در قسمت هاي خدمات عمومي موضوع بند (۹) ماده (۲) اين قانون از قبيل خيابان، فضاي سبز، مساجد، مدارس و امثال آن روزانه به ميزان يك در هزار بهاي روز تعهدات انجام شده به ميزان قدرالسهم پيش‌خريدار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۴ـ درصورت عدم اقدام به موقع به سند رسمي انتقال، روزانه به ميزان يك در هزار مبلغ قرارداد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hint="cs"/>
                            <w:sz w:val="24"/>
                            <w:szCs w:val="24"/>
                            <w:rtl/>
                          </w:rPr>
                        </w:pPr>
                        <w:r w:rsidRPr="001130D3">
                          <w:rPr>
                            <w:rFonts w:ascii="Times New Roman" w:eastAsia="Times New Roman" w:hAnsi="Times New Roman" w:cs="0 Nazanin"/>
                            <w:sz w:val="24"/>
                            <w:szCs w:val="24"/>
                            <w:rtl/>
                          </w:rPr>
                          <w:t>ماده ۷ـ درصورتي كه مساحت بناء براساس صورت مجلس تفكيكي، كمتر يا بيشتر از مقدار مشخص شده در قرارداد باشد، مابه‌التفاوت براساس نرخ مندرج در قرارداد مورد محاسبه قرار خواهد گرفت، ليكن چنانچه مساحت بنا تا پنج درصد (۵%) افزون بر زيربناي مقرر در قرارداد باشد، هيچكدام از طرفين حق فسخ قرارداد را ندارند و در صورتي‌كه بيش از پنج درصد (۵%) باشد صرفاً خريدار حق فسخ قرارداد را دارد.</w:t>
                        </w:r>
                      </w:p>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چنانچه مساحت واحد تحويل‌شده كمتر از نود و پنج درصد (۹۵%) مقدار توافق‌شده باشد پيش‌خريدار حق فسخ قرارداد را دارد يا مي‌تواند خسارت وارده را بر پايه قيمت روز بناء و براساس نظر كارشناسي از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مطالبه كند.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۸ ـ در تمامي مواردي كه به دليل تخلف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پيش‌خريدار حق فسخ خود را اعمال مي‌نمايد،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بايد خسارت وارده را بر مبناء مصالحه طرفين يا برآورد كارشناس مرضي‌الطرفين به پيش‌خريدار بپردازد.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تبصره ـ درصورت عدم توافق طرفين،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بايد تمام مبالغ پرداختي را براساس قيمت روز بناء، طبق نظر كارشناس منتخب مراجع قضائي همراه ساير خسارات قانوني به پيش‌خريدار مسترد نمايد.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۹ـ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در قبال خسارات ناشي از عيب بناء و تجهيزات آن و نيز خسارات ناشي از عدم رعايت ضوابط قانوني، در برابر پيش‌خريدار و اشخاص ثالث مسؤول است و بايد مسؤوليت خود را از اين جهت بيمه نمايد. چنانچه ميزان خسارت وارده بيش از مبلغي باشد كه از طريق بيمه پرداخت مي‌شود،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ضامن پرداخت مابه‌التفاوت خسارت وارده خواهد بود.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۱۰ـ درمواردي كه بانك ها به پيش‌خريداران براساس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تسهيلات خريد مي‌دهند، وجه تسهيلات از طرف پيش‌خريدار توسط بانك به حساب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واريز و مالكيت عرصه به نسبت سهم واحد پيش‌خريداري‌شده و نيز حقوق پيش‌خريدار نسبت به آن واحد به عنوان تضمين أخذ مي‌گردد.</w:t>
                        </w:r>
                        <w:r w:rsidRPr="001130D3">
                          <w:rPr>
                            <w:rFonts w:ascii="Times New Roman" w:eastAsia="Times New Roman" w:hAnsi="Times New Roman" w:cs="Times New Roman" w:hint="cs"/>
                            <w:sz w:val="24"/>
                            <w:szCs w:val="24"/>
                            <w:rtl/>
                          </w:rPr>
                          <w:t> </w:t>
                        </w:r>
                        <w:r w:rsidRPr="001130D3">
                          <w:rPr>
                            <w:rFonts w:ascii="Times New Roman" w:eastAsia="Times New Roman" w:hAnsi="Times New Roman" w:cs="0 Nazanin"/>
                            <w:sz w:val="24"/>
                            <w:szCs w:val="24"/>
                            <w:rtl/>
                          </w:rPr>
                          <w:t xml:space="preserve">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۱۱ـ در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ساختمان نحوه پرداخت اقساط بهاي مورد قرارداد توافق طرفين خواهد بود، ولي حداقل ده درصد (۱۰%) از بها همزمان با تنظيم سند قطعي قابل ‌وصول خواهد بود و طرفين نمي‌توانند برخلاف آن توافق كنند.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ماده ۱۲ـ درصورتي كه عمليات ساختماني متناسب با مفاد قرارداد پيشرفت‌ نداشته باشد، پيش‌خريدار مي‌تواند پرداخت </w:t>
                        </w:r>
                        <w:r w:rsidRPr="001130D3">
                          <w:rPr>
                            <w:rFonts w:ascii="Times New Roman" w:eastAsia="Times New Roman" w:hAnsi="Times New Roman" w:cs="0 Nazanin"/>
                            <w:sz w:val="24"/>
                            <w:szCs w:val="24"/>
                            <w:rtl/>
                          </w:rPr>
                          <w:lastRenderedPageBreak/>
                          <w:t>اقساط را منوط به ارائه تأييديه مهندس ناظر مبني بر تحقق پيشرفت از سوي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نمايد و مهندس ناظر مكلف است به تقاضاي هريك از طرفين ظرف يك‌ماه گزارش پيشرفت كار را ارائه نمايد.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lastRenderedPageBreak/>
                          <w:t>ماده ۱۳ـ پيش‌خريدار به نسبت اقساط پرداختي يا عوض قراردادي، مالك ملك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فروش‌شده مي‌گردد و در پايان مدت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و اتمام ساختمان، با تأييد مهندس ‌ناظر درصورتي‌كه تمام اقساط را پرداخت يا عوض‌قراردادي را تحويل ‌داده باشد، با ارائه مدارك مبني بر ايفاء تعهدات، مي‌تواند با مراجعه به يكي از دفاتر اسناد رسمي، تنظيم سند رسمي انتقال به نام خود را درخواست نمايد چنانچه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حداكثر ظرف ده روز پس از اعلام دفترخانه از انتقال رسمي مال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فروش‌شده خودداري نمايد، دفترخانه با تصريح مراتب مبادرت به تنظيم سند رسمي به نام پيش‌خريدار يا قائم مقام وي مي‌نمايد. اداره ثبت اسناد و املاك محل وقوع ملك مكلف است به تقاضاي ذي‌نفع نسبت به تفكيك و يا افراز ملك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شده اقدام نمايد.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۱۴ـ درصورت انجام كامل تعهدات از سوي پيش‌خريدار چنانچه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تا زمان انقضاء مدت قرارداد موفق به تكميل پروژه نگردد، با تأييد مهندس ‌ناظر ساختمان مبني ‌بر اين‌كه صرفاً اقدامات جزئي تا تكميل پروژه باقيمانده است (كمتر از ده درصد «۱۰%» پيشرفت فيزيكي مانده باشد)، پيش‌خريدار مي‌تواند با قبول تكميل باقي قرارداد به دفتر اسناد رسمي مراجعه نمايد و خواستار تنظيم سند رسمي به قدرالسهم خود گردد. حقوق دولتي و هزينه‌هايي كه طبق مقررات بر عهده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بوده و توسط پيش‌خريدار پرداخت مي‌گردد مانع از استيفاء مبلغ هزينه‌شده از محل ماده (۱۱) و غيره با كسب نظر هيأت داوري مندرج در ماده (۲۰) اين قانون نخواهد بود.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۱۵ـ عرصه و اعيان واحد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شده و نيز اقساط و وجوه وصول و يا تعهدشده بابت آن، قبل از انتقال رسمي واحد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فروش‌شده به پيش‌خريدار قابل توقيف و تأمين به نفع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يا طلبكار او نيست.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۱۶ـ درصورت عدم پرداخت اقساط بها يا عوض قراردادي در مواعد مقرر،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بايد مراتب را كتباً به دفترخانه تنظيم‌كننده سند اعلام كند. دفترخانه مكلف است ظرف مهلت يك هفته به پيش‌خريدار اخطار نمايد تا ظرف يك ماه نسبت به پرداخت اقساط معوقه اقدام نمايد در غير اين‌صورت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حق فسخ قرارداد را خواهد داشت.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۱۷ـ واگذاري تمام يا بخشي از حقوق و تعهدات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نسبت به واحد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شده و عرصة آن پس از اخذ رضايت همه پيش‌خريداران يا قائم‌مقام قانوني آنها بلامانع است.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۱۸ـ درصورت انتقال حقوق و تعهدات پيش‌خريدار نسبت به واحد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فروش‌شده بدون رضايت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فروشنده، پيش‌خريدار عهده‌دار پرداخت بها يا عوض قرارداد خواهد بود.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۱۹ـ پس از انتقال قطعي واحد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شده و انجام كليه تعهدات،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از درجه اعتبار ساقط و طرفين ملزم به اعاده آن به دفترخانه مي‌باشند.</w:t>
                        </w:r>
                        <w:r w:rsidRPr="001130D3">
                          <w:rPr>
                            <w:rFonts w:ascii="Times New Roman" w:eastAsia="Times New Roman" w:hAnsi="Times New Roman" w:cs="Times New Roman" w:hint="cs"/>
                            <w:sz w:val="24"/>
                            <w:szCs w:val="24"/>
                            <w:rtl/>
                          </w:rPr>
                          <w:t> </w:t>
                        </w:r>
                        <w:r w:rsidRPr="001130D3">
                          <w:rPr>
                            <w:rFonts w:ascii="Times New Roman" w:eastAsia="Times New Roman" w:hAnsi="Times New Roman" w:cs="0 Nazanin"/>
                            <w:sz w:val="24"/>
                            <w:szCs w:val="24"/>
                            <w:rtl/>
                          </w:rPr>
                          <w:t xml:space="preserve">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۲۰ـ كليه اختلافات ناشي از تعبير، تفسير و اجراء مفاد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توسط هيأت داوران متشكل از يك داور از سوي خريدار و يك داور از سوي فروشنده و يك داور مرضي‌الطرفين و در صورت عدم توافق بر داور مرضي‌الطرفين يك داور با معرفي رئيس دادگستري شهرستان مربوطه انجام مي‌پذيرد. درصورت نياز داوران مي‌توانند از نظر كارشناسان رسمي محل استفاده نمايد. آيين‌نامه اجرائي اين ماده توسط وزارت مسكن و شهرسازي و وزارت دادگستري تهيه و به تأييد هيأت وزيران خواهد رسيد. داوري موضوع اين قانون تابع مقررات آيين دادرسي دادگاه هاي عمومي و انقلاب خواهد بود.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hint="cs"/>
                            <w:sz w:val="24"/>
                            <w:szCs w:val="24"/>
                            <w:rtl/>
                          </w:rPr>
                        </w:pPr>
                        <w:r w:rsidRPr="001130D3">
                          <w:rPr>
                            <w:rFonts w:ascii="Times New Roman" w:eastAsia="Times New Roman" w:hAnsi="Times New Roman" w:cs="0 Nazanin"/>
                            <w:sz w:val="24"/>
                            <w:szCs w:val="24"/>
                            <w:rtl/>
                          </w:rPr>
                          <w:t>ماده ۲۱ـ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فروشنده بايد قبل از هرگونه اقدام جهت تبليغ و آگهي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به هر طريق از جمله درج در مطبوعات و پايگاه هاي اطلاع‌رساني و ساير رسانه‌هاي گروهي و نصب در اماكن و غيره، مجوز انتشار آگهي را از مراجع ذي‌صلاح كه در آيين‌نامه اجرائي اين قانون مشخص مي‌شود أخذ و ضميمه درخواست آگهي به مطبوعات و رسانه‌هاي يادشده ارائه نمايد. شماره و تاريخ اين مجوز بايد در آگهي درج و به اطلاع عموم رسانده شود.</w:t>
                        </w:r>
                      </w:p>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مطبوعات و رسانه‌ها قبل از دريافت مجوز يادشده حق درج و انتشار آگهي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را ندارند. در غير اين صورت به توقيف به مدت حداكثر دو ماه و جزاء نقدي از ده ميليون (۱۰.۰۰۰.۰۰۰)ريال تا يكصد ميليون (۱۰۰.۰۰۰.۰۰۰) ريال و در </w:t>
                        </w:r>
                        <w:r w:rsidRPr="001130D3">
                          <w:rPr>
                            <w:rFonts w:ascii="Times New Roman" w:eastAsia="Times New Roman" w:hAnsi="Times New Roman" w:cs="0 Nazanin"/>
                            <w:sz w:val="24"/>
                            <w:szCs w:val="24"/>
                            <w:rtl/>
                          </w:rPr>
                          <w:lastRenderedPageBreak/>
                          <w:t xml:space="preserve">صورت تكرار به حداكثر مجازات محكوم خواهند شد.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lastRenderedPageBreak/>
                          <w:t xml:space="preserve">ماده ۲۲ـ شهرداري‌ها مكلفند هنگام صدور پروانه ساختمان براي هر واحد نيز شناسنامه فني مستقل با ذكر مشخصات كامل و ملحقات و ساير حقوق با شماره مسلسل صادر و به متقاضي تسليم نمايند.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۲۳ـ اشخاصي كه بدون تنظيم سند رسمي اقدام به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ساختمان يا بدون اخذ مجوز اقدام به درج يا انتشار آگهي نمايند، به حبس از نود و يك روز تا يك‌سال يا جزاء نقدي به ميزان دو تا چهار برابر وجوه و اموال دريافتي محكوم مي‌شوند.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تبصره ـ جرايم مذكور در اين ماده تعقيب نمي‌شود مگر با شكايت شاكي خصوصي يا وزارت مسكن و شهرسازي و با گذشت شاكي، تعقيب يا اجراء آن موقوف مي‌شود.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ماده ۲۴ـ مشاوران املاك بايد پس از انجام مذاكرات مقدماتي، طرفين را جهت تنظيم سند رسمي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فروش به يكي از دفاتر اسناد رسمي دلالت نمايند و نمي‌توانند رأساً مبادرت به تنظيم قرارداد پيش</w:t>
                        </w:r>
                        <w:r w:rsidRPr="001130D3">
                          <w:rPr>
                            <w:rFonts w:ascii="Times New Roman" w:eastAsia="Times New Roman" w:hAnsi="Times New Roman" w:cs="0 Nazanin"/>
                            <w:sz w:val="24"/>
                            <w:szCs w:val="24"/>
                          </w:rPr>
                          <w:t>‌</w:t>
                        </w:r>
                        <w:r w:rsidRPr="001130D3">
                          <w:rPr>
                            <w:rFonts w:ascii="Times New Roman" w:eastAsia="Times New Roman" w:hAnsi="Times New Roman" w:cs="0 Nazanin"/>
                            <w:sz w:val="24"/>
                            <w:szCs w:val="24"/>
                            <w:rtl/>
                          </w:rPr>
                          <w:t xml:space="preserve">فروش نمايند. در غيراين‌صورت براي بار اول تا يك‌سال و براي بار دوم تا دو سال تعليق پروانة كسب و براي بار سوم به ابطال پروانه كسب محكوم مي‌شوند.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ماده ۲۵ـ آيين‌نامه اجرائي اين قانون ظرف سه ماه از تاريخ تصويب توسط وزارت دادگستري با همكاري وزارت مسكن و شهرسازي و سازمان ثبت اسناد و املاك كشور تهيه و پس از تأييد رئيس قوه قضائيه به تصويب هيأت وزيران خواهد رسيد.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قانون فوق مشتمل بر بيست و پنج ماده و چهار تبصره در جلسه علني روز يكشنبه مورخ دوازدهم دي‌ماه يكهزار و سيصد و هشتاد و نه مجلس شوراي اسلامي تصويب</w:t>
                        </w:r>
                        <w:r w:rsidRPr="001130D3">
                          <w:rPr>
                            <w:rFonts w:ascii="Times New Roman" w:eastAsia="Times New Roman" w:hAnsi="Times New Roman" w:cs="Times New Roman" w:hint="cs"/>
                            <w:sz w:val="24"/>
                            <w:szCs w:val="24"/>
                            <w:rtl/>
                          </w:rPr>
                          <w:t> </w:t>
                        </w:r>
                        <w:r w:rsidRPr="001130D3">
                          <w:rPr>
                            <w:rFonts w:ascii="Times New Roman" w:eastAsia="Times New Roman" w:hAnsi="Times New Roman" w:cs="0 Nazanin" w:hint="cs"/>
                            <w:sz w:val="24"/>
                            <w:szCs w:val="24"/>
                            <w:rtl/>
                          </w:rPr>
                          <w:t>و</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در</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تاريخ</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۲۹</w:t>
                        </w:r>
                        <w:r w:rsidRPr="001130D3">
                          <w:rPr>
                            <w:rFonts w:ascii="Times New Roman" w:eastAsia="Times New Roman" w:hAnsi="Times New Roman" w:cs="0 Nazanin"/>
                            <w:sz w:val="24"/>
                            <w:szCs w:val="24"/>
                            <w:rtl/>
                          </w:rPr>
                          <w:t>/</w:t>
                        </w:r>
                        <w:r w:rsidRPr="001130D3">
                          <w:rPr>
                            <w:rFonts w:ascii="Times New Roman" w:eastAsia="Times New Roman" w:hAnsi="Times New Roman" w:cs="0 Nazanin" w:hint="cs"/>
                            <w:sz w:val="24"/>
                            <w:szCs w:val="24"/>
                            <w:rtl/>
                          </w:rPr>
                          <w:t>۱۰</w:t>
                        </w:r>
                        <w:r w:rsidRPr="001130D3">
                          <w:rPr>
                            <w:rFonts w:ascii="Times New Roman" w:eastAsia="Times New Roman" w:hAnsi="Times New Roman" w:cs="0 Nazanin"/>
                            <w:sz w:val="24"/>
                            <w:szCs w:val="24"/>
                            <w:rtl/>
                          </w:rPr>
                          <w:t>/</w:t>
                        </w:r>
                        <w:r w:rsidRPr="001130D3">
                          <w:rPr>
                            <w:rFonts w:ascii="Times New Roman" w:eastAsia="Times New Roman" w:hAnsi="Times New Roman" w:cs="0 Nazanin" w:hint="cs"/>
                            <w:sz w:val="24"/>
                            <w:szCs w:val="24"/>
                            <w:rtl/>
                          </w:rPr>
                          <w:t>۱۳۸۹</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به</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تأييد</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شوراي</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نگهبان</w:t>
                        </w:r>
                        <w:r w:rsidRPr="001130D3">
                          <w:rPr>
                            <w:rFonts w:ascii="Times New Roman" w:eastAsia="Times New Roman" w:hAnsi="Times New Roman" w:cs="0 Nazanin"/>
                            <w:sz w:val="24"/>
                            <w:szCs w:val="24"/>
                            <w:rtl/>
                          </w:rPr>
                          <w:t xml:space="preserve"> </w:t>
                        </w:r>
                        <w:r w:rsidRPr="001130D3">
                          <w:rPr>
                            <w:rFonts w:ascii="Times New Roman" w:eastAsia="Times New Roman" w:hAnsi="Times New Roman" w:cs="0 Nazanin" w:hint="cs"/>
                            <w:sz w:val="24"/>
                            <w:szCs w:val="24"/>
                            <w:rtl/>
                          </w:rPr>
                          <w:t>رسيد</w:t>
                        </w:r>
                        <w:r w:rsidRPr="001130D3">
                          <w:rPr>
                            <w:rFonts w:ascii="Times New Roman" w:eastAsia="Times New Roman" w:hAnsi="Times New Roman" w:cs="0 Nazanin"/>
                            <w:sz w:val="24"/>
                            <w:szCs w:val="24"/>
                            <w:rtl/>
                          </w:rPr>
                          <w:t xml:space="preserve">. </w:t>
                        </w:r>
                      </w:p>
                    </w:tc>
                  </w:tr>
                  <w:tr w:rsidR="001130D3" w:rsidRPr="001130D3">
                    <w:trPr>
                      <w:tblCellSpacing w:w="7" w:type="dxa"/>
                    </w:trPr>
                    <w:tc>
                      <w:tcPr>
                        <w:tcW w:w="0" w:type="auto"/>
                        <w:vAlign w:val="center"/>
                        <w:hideMark/>
                      </w:tcPr>
                      <w:p w:rsidR="001130D3" w:rsidRPr="001130D3" w:rsidRDefault="001130D3" w:rsidP="001130D3">
                        <w:pPr>
                          <w:spacing w:before="100" w:beforeAutospacing="1" w:after="100" w:afterAutospacing="1" w:line="240" w:lineRule="auto"/>
                          <w:jc w:val="both"/>
                          <w:rPr>
                            <w:rFonts w:ascii="Times New Roman" w:eastAsia="Times New Roman" w:hAnsi="Times New Roman" w:cs="0 Nazanin"/>
                            <w:sz w:val="24"/>
                            <w:szCs w:val="24"/>
                          </w:rPr>
                        </w:pPr>
                        <w:r w:rsidRPr="001130D3">
                          <w:rPr>
                            <w:rFonts w:ascii="Times New Roman" w:eastAsia="Times New Roman" w:hAnsi="Times New Roman" w:cs="0 Nazanin"/>
                            <w:sz w:val="24"/>
                            <w:szCs w:val="24"/>
                            <w:rtl/>
                          </w:rPr>
                          <w:t xml:space="preserve">رييس مجلس شوراي اسلامي ـ علي لاريجاني </w:t>
                        </w:r>
                      </w:p>
                    </w:tc>
                  </w:tr>
                </w:tbl>
                <w:p w:rsidR="001130D3" w:rsidRPr="001130D3" w:rsidRDefault="001130D3" w:rsidP="001130D3">
                  <w:pPr>
                    <w:spacing w:after="0" w:line="240" w:lineRule="auto"/>
                    <w:jc w:val="both"/>
                    <w:rPr>
                      <w:rFonts w:ascii="Times New Roman" w:eastAsia="Times New Roman" w:hAnsi="Times New Roman" w:cs="0 Nazanin"/>
                      <w:sz w:val="24"/>
                      <w:szCs w:val="24"/>
                    </w:rPr>
                  </w:pPr>
                </w:p>
              </w:tc>
            </w:tr>
          </w:tbl>
          <w:p w:rsidR="001130D3" w:rsidRPr="001130D3" w:rsidRDefault="001130D3" w:rsidP="001130D3">
            <w:pPr>
              <w:spacing w:after="0" w:line="240" w:lineRule="auto"/>
              <w:jc w:val="both"/>
              <w:rPr>
                <w:rFonts w:ascii="Times New Roman" w:eastAsia="Times New Roman" w:hAnsi="Times New Roman" w:cs="0 Nazanin"/>
                <w:sz w:val="24"/>
                <w:szCs w:val="24"/>
              </w:rPr>
            </w:pPr>
          </w:p>
        </w:tc>
        <w:tc>
          <w:tcPr>
            <w:tcW w:w="0" w:type="auto"/>
            <w:vAlign w:val="center"/>
            <w:hideMark/>
          </w:tcPr>
          <w:p w:rsidR="001130D3" w:rsidRPr="001130D3" w:rsidRDefault="001130D3" w:rsidP="001130D3">
            <w:pPr>
              <w:spacing w:after="0" w:line="240" w:lineRule="auto"/>
              <w:jc w:val="both"/>
              <w:rPr>
                <w:rFonts w:ascii="Times New Roman" w:eastAsia="Times New Roman" w:hAnsi="Times New Roman" w:cs="0 Nazanin"/>
                <w:sz w:val="24"/>
                <w:szCs w:val="24"/>
              </w:rPr>
            </w:pPr>
          </w:p>
        </w:tc>
        <w:tc>
          <w:tcPr>
            <w:tcW w:w="0" w:type="auto"/>
            <w:vAlign w:val="center"/>
            <w:hideMark/>
          </w:tcPr>
          <w:p w:rsidR="001130D3" w:rsidRPr="001130D3" w:rsidRDefault="001130D3" w:rsidP="001130D3">
            <w:pPr>
              <w:spacing w:after="0" w:line="240" w:lineRule="auto"/>
              <w:jc w:val="both"/>
              <w:rPr>
                <w:rFonts w:ascii="Times New Roman" w:eastAsia="Times New Roman" w:hAnsi="Times New Roman" w:cs="0 Nazanin"/>
                <w:sz w:val="24"/>
                <w:szCs w:val="24"/>
              </w:rPr>
            </w:pPr>
          </w:p>
        </w:tc>
        <w:tc>
          <w:tcPr>
            <w:tcW w:w="0" w:type="auto"/>
            <w:vAlign w:val="center"/>
            <w:hideMark/>
          </w:tcPr>
          <w:p w:rsidR="001130D3" w:rsidRPr="001130D3" w:rsidRDefault="001130D3" w:rsidP="001130D3">
            <w:pPr>
              <w:spacing w:after="0" w:line="240" w:lineRule="auto"/>
              <w:jc w:val="both"/>
              <w:rPr>
                <w:rFonts w:ascii="Times New Roman" w:eastAsia="Times New Roman" w:hAnsi="Times New Roman" w:cs="0 Nazanin"/>
                <w:sz w:val="24"/>
                <w:szCs w:val="24"/>
              </w:rPr>
            </w:pPr>
          </w:p>
        </w:tc>
      </w:tr>
    </w:tbl>
    <w:p w:rsidR="00D51104" w:rsidRPr="001130D3" w:rsidRDefault="00D51104" w:rsidP="001130D3">
      <w:pPr>
        <w:jc w:val="both"/>
        <w:rPr>
          <w:rFonts w:cs="0 Nazanin" w:hint="cs"/>
          <w:sz w:val="24"/>
          <w:szCs w:val="24"/>
        </w:rPr>
      </w:pPr>
    </w:p>
    <w:sectPr w:rsidR="00D51104" w:rsidRPr="001130D3" w:rsidSect="009B602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0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0D3"/>
    <w:rsid w:val="001052CE"/>
    <w:rsid w:val="001130D3"/>
    <w:rsid w:val="00227497"/>
    <w:rsid w:val="002C375B"/>
    <w:rsid w:val="0030402A"/>
    <w:rsid w:val="003D35C3"/>
    <w:rsid w:val="005C19B2"/>
    <w:rsid w:val="00647D1E"/>
    <w:rsid w:val="00717FA2"/>
    <w:rsid w:val="007C405A"/>
    <w:rsid w:val="0087119C"/>
    <w:rsid w:val="008E5995"/>
    <w:rsid w:val="009A7212"/>
    <w:rsid w:val="009B6029"/>
    <w:rsid w:val="00AB7658"/>
    <w:rsid w:val="00BC736C"/>
    <w:rsid w:val="00C156E0"/>
    <w:rsid w:val="00C64852"/>
    <w:rsid w:val="00C933B0"/>
    <w:rsid w:val="00D51104"/>
    <w:rsid w:val="00F50648"/>
    <w:rsid w:val="00FE61F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us1">
    <w:name w:val="status1"/>
    <w:basedOn w:val="Normal"/>
    <w:rsid w:val="001130D3"/>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3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0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us1">
    <w:name w:val="status1"/>
    <w:basedOn w:val="Normal"/>
    <w:rsid w:val="001130D3"/>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3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0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51800">
      <w:bodyDiv w:val="1"/>
      <w:marLeft w:val="0"/>
      <w:marRight w:val="0"/>
      <w:marTop w:val="0"/>
      <w:marBottom w:val="0"/>
      <w:divBdr>
        <w:top w:val="none" w:sz="0" w:space="0" w:color="auto"/>
        <w:left w:val="none" w:sz="0" w:space="0" w:color="auto"/>
        <w:bottom w:val="none" w:sz="0" w:space="0" w:color="auto"/>
        <w:right w:val="none" w:sz="0" w:space="0" w:color="auto"/>
      </w:divBdr>
      <w:divsChild>
        <w:div w:id="330378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1640</Words>
  <Characters>9354</Characters>
  <Application>Microsoft Office Word</Application>
  <DocSecurity>0</DocSecurity>
  <Lines>77</Lines>
  <Paragraphs>21</Paragraphs>
  <ScaleCrop>false</ScaleCrop>
  <Company/>
  <LinksUpToDate>false</LinksUpToDate>
  <CharactersWithSpaces>10973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sos</dc:creator>
  <cp:lastModifiedBy>sos</cp:lastModifiedBy>
  <cp:revision>1</cp:revision>
  <dcterms:created xsi:type="dcterms:W3CDTF">2014-06-25T07:52:00Z</dcterms:created>
  <dcterms:modified xsi:type="dcterms:W3CDTF">2014-06-25T07:55:00Z</dcterms:modified>
</cp:coreProperties>
</file>